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5169D862" w:rsidR="00F83112" w:rsidRPr="00686E1A" w:rsidRDefault="009F5A24">
            <w:pPr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9EFEBE" wp14:editId="429FA261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350AFD81" w:rsidR="00FD1457" w:rsidRPr="005E6DEB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081CF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2E21DA12" w:rsidR="00F83112" w:rsidRPr="00DC152D" w:rsidRDefault="005E6DEB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01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 w:rsidR="00081CFE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7</w:t>
            </w:r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77777777" w:rsidR="0081721A" w:rsidRPr="00686E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238926E7" w:rsidR="00F83112" w:rsidRDefault="00BA3F86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«ПИЛОТ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3EF0CFA" w14:textId="3BD73E97" w:rsidR="004E3356" w:rsidRDefault="005E6DEB" w:rsidP="008C3BC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 5000 рублей до </w:t>
            </w:r>
            <w:r w:rsidRPr="005E6DEB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1</w:t>
            </w:r>
            <w:r w:rsidR="007538CE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рублей. От 3</w:t>
            </w:r>
            <w:r w:rsidR="007538CE" w:rsidRPr="007538C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940363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до 10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0000 рублей с шагом 5000 рублей. </w:t>
            </w:r>
          </w:p>
          <w:p w14:paraId="07F804E1" w14:textId="72EB9CE6" w:rsidR="004E3356" w:rsidRPr="00EB070A" w:rsidRDefault="004E3356" w:rsidP="008C3BCB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CB1DC8C" w14:textId="77777777" w:rsidR="004E3356" w:rsidRPr="002958F5" w:rsidRDefault="004E3356" w:rsidP="00EF12E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6480DCA" w14:textId="15C61FCE" w:rsidR="004E3356" w:rsidRPr="002958F5" w:rsidRDefault="004E3356" w:rsidP="00C217C7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Договор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страхования, предусмотренный п. 10, вступивший в силу, который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лжен быть предоставлен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до момен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та принятия Заемщиком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Индивидуальных условий.</w:t>
            </w:r>
          </w:p>
          <w:p w14:paraId="3308AF6F" w14:textId="40B26135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28038264" w:rsidR="004E3356" w:rsidRPr="008734C9" w:rsidRDefault="008734C9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2E42DB12" w:rsidR="004E3356" w:rsidRPr="002958F5" w:rsidRDefault="007538CE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r w:rsidR="00796DD0">
              <w:rPr>
                <w:rFonts w:ascii="Arial" w:hAnsi="Arial" w:cs="Arial"/>
                <w:color w:val="000000" w:themeColor="text1"/>
                <w:sz w:val="18"/>
                <w:szCs w:val="18"/>
              </w:rPr>
              <w:t>000-100</w:t>
            </w:r>
            <w:bookmarkStart w:id="0" w:name="_GoBack"/>
            <w:bookmarkEnd w:id="0"/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A808B8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A808B8" w:rsidRPr="002958F5" w:rsidRDefault="00A808B8" w:rsidP="00A808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5180B8A2" w:rsidR="00A808B8" w:rsidRPr="002958F5" w:rsidRDefault="00A808B8" w:rsidP="00A808B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1,5%</w:t>
            </w:r>
          </w:p>
        </w:tc>
        <w:tc>
          <w:tcPr>
            <w:tcW w:w="972" w:type="dxa"/>
          </w:tcPr>
          <w:p w14:paraId="01682D04" w14:textId="48522FB7" w:rsidR="00A808B8" w:rsidRPr="003E7BBA" w:rsidRDefault="00A808B8" w:rsidP="00A808B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780AFF76" w:rsidR="00A808B8" w:rsidRPr="002958F5" w:rsidRDefault="00A808B8" w:rsidP="00A808B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27" w:type="dxa"/>
          </w:tcPr>
          <w:p w14:paraId="01739491" w14:textId="1FE9B2C2" w:rsidR="00A808B8" w:rsidRPr="002958F5" w:rsidRDefault="00A808B8" w:rsidP="00A808B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28" w:type="dxa"/>
          </w:tcPr>
          <w:p w14:paraId="4A172D78" w14:textId="142BF6AA" w:rsidR="00A808B8" w:rsidRPr="002958F5" w:rsidRDefault="00A808B8" w:rsidP="00A808B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0,68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7ACF4B6B" w:rsidR="00A808B8" w:rsidRDefault="00A808B8" w:rsidP="00A808B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0,42%</w:t>
            </w:r>
          </w:p>
        </w:tc>
        <w:tc>
          <w:tcPr>
            <w:tcW w:w="1117" w:type="dxa"/>
          </w:tcPr>
          <w:p w14:paraId="76382BEC" w14:textId="2F609AAB" w:rsidR="00A808B8" w:rsidRPr="002958F5" w:rsidRDefault="00A808B8" w:rsidP="00A808B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0,68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17B5592A" w:rsidR="00A808B8" w:rsidRPr="002958F5" w:rsidRDefault="00A808B8" w:rsidP="00A808B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0,42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1C5C62" w14:textId="76B567C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ния процентной ставки является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сумма займа.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9847192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</w:p>
          <w:p w14:paraId="6905DA3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на банковский счет (по полным реквизитам счета) – бесплатно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209214BA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день.</w:t>
            </w:r>
          </w:p>
          <w:p w14:paraId="1F31F0C0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 от суммы перевода + 30 рублей. Срок зачисления от 10 минут до 3 рабочих дней.</w:t>
            </w:r>
          </w:p>
          <w:p w14:paraId="59EDACA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 от суммы перевода. Перевод доступен в пунктах выдачи через 30 минут.</w:t>
            </w:r>
          </w:p>
          <w:p w14:paraId="0E0621C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  <w:p w14:paraId="22008287" w14:textId="235D5A83" w:rsidR="004E3356" w:rsidRPr="00EB070A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lastRenderedPageBreak/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4F26D133" w14:textId="77777777" w:rsidR="004E3356" w:rsidRPr="00E3472A" w:rsidRDefault="004E3356" w:rsidP="00E3472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5C155C44" w14:textId="77777777" w:rsidR="00337F42" w:rsidRPr="00E3472A" w:rsidRDefault="00337F42" w:rsidP="00337F4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Далее</w:t>
            </w: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5A7E9AD9" w14:textId="77777777" w:rsidR="004E3356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30EE32C" w14:textId="52F9F6D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частичного досрочного погашения.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ADC2DE4" w14:textId="686AB04F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Договор страхования от несчастных случаев в отношении Заемщика с любой страховой компанией, соответствующей критериям, установ</w:t>
            </w:r>
            <w:r w:rsidR="009F5A24">
              <w:rPr>
                <w:rFonts w:ascii="Arial" w:hAnsi="Arial" w:cs="Arial"/>
                <w:color w:val="000000" w:themeColor="text1"/>
                <w:sz w:val="18"/>
                <w:szCs w:val="18"/>
              </w:rPr>
              <w:t>ленным кредитором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, с указанием в качестве выгодоприобретателя в объёме задолженности по договору займа ООО «МКК «Деньги Будут» со следующими рисками: смерть застрахованного в результате несчастного случая, установление застрахованному впервые I (первой), либо II (второй) группы инвалидности в результате несчастного случая. Расходы по заключению такого договора Заёмщик несёт самостоятельно. Договор, вступивший в силу, до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лжен быть предоставлен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до момен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та принятия Заемщиком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Индивидуальных условий.</w:t>
            </w:r>
          </w:p>
          <w:p w14:paraId="3EED28D7" w14:textId="754EE933" w:rsidR="004E3356" w:rsidRPr="00EB070A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может заключить договор на сопоставимых (сумма и сро</w:t>
            </w:r>
            <w:r w:rsidR="009F5A24">
              <w:rPr>
                <w:rFonts w:ascii="Arial" w:hAnsi="Arial" w:cs="Arial"/>
                <w:color w:val="000000" w:themeColor="text1"/>
                <w:sz w:val="18"/>
                <w:szCs w:val="18"/>
              </w:rPr>
              <w:t>к возврата займа) условиях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без заключения договора страхования (тарифный план Базовый), либо с заключением договора страхования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 участием в качестве страховщика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АО «Д2 Страхование»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и страхователя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«Невский Гарант»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как с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включения затрат в сумму займа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(тарифный план Оптима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так и без включения (тарифный план Старт)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10F4ECEF" w14:textId="7BF88511" w:rsidR="00E44CD9" w:rsidRPr="008670DF" w:rsidRDefault="008670DF" w:rsidP="008670DF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697084">
        <w:rPr>
          <w:rFonts w:ascii="Arial" w:hAnsi="Arial" w:cs="Arial"/>
          <w:color w:val="000000" w:themeColor="text1"/>
          <w:sz w:val="18"/>
          <w:szCs w:val="18"/>
        </w:rPr>
        <w:t>От 152,825 до 546,02</w:t>
      </w:r>
    </w:p>
    <w:sectPr w:rsidR="00E44CD9" w:rsidRPr="008670DF" w:rsidSect="003202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1CFE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37F42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523C"/>
    <w:rsid w:val="003E53EC"/>
    <w:rsid w:val="003E6BB1"/>
    <w:rsid w:val="003E7BBA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E6DEB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9708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8CE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170D"/>
    <w:rsid w:val="007827AB"/>
    <w:rsid w:val="00782DEC"/>
    <w:rsid w:val="00783D40"/>
    <w:rsid w:val="00784A6D"/>
    <w:rsid w:val="00785E64"/>
    <w:rsid w:val="00786CAC"/>
    <w:rsid w:val="007905BD"/>
    <w:rsid w:val="00790F4A"/>
    <w:rsid w:val="007938DC"/>
    <w:rsid w:val="00794257"/>
    <w:rsid w:val="007947AE"/>
    <w:rsid w:val="00796DD0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34C9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40363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A2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08B8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23F1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3F86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3CE7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1520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6CFD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FD98E-8F3E-4BC2-83B7-90673F30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7</cp:revision>
  <cp:lastPrinted>2017-04-01T06:43:00Z</cp:lastPrinted>
  <dcterms:created xsi:type="dcterms:W3CDTF">2017-06-26T12:44:00Z</dcterms:created>
  <dcterms:modified xsi:type="dcterms:W3CDTF">2017-10-25T09:00:00Z</dcterms:modified>
</cp:coreProperties>
</file>