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7AFC5F38" w:rsidR="00F83112" w:rsidRPr="007E159E" w:rsidRDefault="007E159E">
            <w:pPr>
              <w:rPr>
                <w:sz w:val="20"/>
                <w:szCs w:val="20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9EC040" wp14:editId="1CF63339">
                  <wp:extent cx="1885950" cy="377190"/>
                  <wp:effectExtent l="0" t="0" r="0" b="3810"/>
                  <wp:docPr id="2" name="Рисунок 2" descr="http://dengibudut.com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ngibudut.com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265" cy="38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1DA48E29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FC5BF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14579FF0" w:rsidR="00F83112" w:rsidRPr="00DC152D" w:rsidRDefault="00FC5BF0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15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03</w:t>
            </w:r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.2017</w:t>
            </w:r>
          </w:p>
        </w:tc>
      </w:tr>
    </w:tbl>
    <w:p w14:paraId="5B591308" w14:textId="77777777" w:rsidR="0081721A" w:rsidRPr="00686E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  <w:bookmarkStart w:id="0" w:name="_GoBack"/>
      <w:bookmarkEnd w:id="0"/>
    </w:p>
    <w:p w14:paraId="033BFAA5" w14:textId="4DB53939" w:rsidR="00F83112" w:rsidRDefault="00246531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«ОПТИМА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C3D940F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30000 рублей с шагом 1000 рублей. От 35000 рублей до 90000 рублей с шагом 5000 рублей. Сверх указанных лимитов в сумму займа включается компенсация Страхователю за присоединение к Договору страхования от несчастных случаев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(Итоговая Полная сумма займа не должна превышать 100000 рублей)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7F804E1" w14:textId="72EB9CE6" w:rsidR="004E3356" w:rsidRPr="00EB070A" w:rsidRDefault="004E3356" w:rsidP="008C3BCB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458A898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308AF6F" w14:textId="4FB3C38C" w:rsidR="004E3356" w:rsidRPr="00EB070A" w:rsidRDefault="004E3356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60447CC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11000-30000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1AD663FB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35000-90000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4E3356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4E3356" w:rsidRPr="002958F5" w:rsidRDefault="004E3356" w:rsidP="00E25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4BFC1E2F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972" w:type="dxa"/>
          </w:tcPr>
          <w:p w14:paraId="01682D04" w14:textId="73A958CD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327FC569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727" w:type="dxa"/>
          </w:tcPr>
          <w:p w14:paraId="01739491" w14:textId="1FC933FC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0,69%</w:t>
            </w:r>
          </w:p>
        </w:tc>
        <w:tc>
          <w:tcPr>
            <w:tcW w:w="1128" w:type="dxa"/>
          </w:tcPr>
          <w:p w14:paraId="4A172D78" w14:textId="56FBCC8F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4D0867AA" w:rsidR="004E3356" w:rsidRDefault="00D532E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0,44%</w:t>
            </w:r>
          </w:p>
        </w:tc>
        <w:tc>
          <w:tcPr>
            <w:tcW w:w="1117" w:type="dxa"/>
          </w:tcPr>
          <w:p w14:paraId="76382BEC" w14:textId="73A826B1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717FB009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6B8596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начисления процентной ставки является полная сумма займа (с учетом компенсации Страхователю за присоединение к Договору страхования от несчастных случаев).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973EEB0" w14:textId="77777777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вправе выбрать любой способ получения займа (из перечисленных ниже, при условии технических возможностей конкретного региональног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 офиса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и обязуется возместить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затраты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на перечисление суммы займа в зависимости от выбранного им способа получения займа (если при выбранном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способе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несет такие затраты) не позднее перво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го платежа по Графику платежей:</w:t>
            </w:r>
          </w:p>
          <w:p w14:paraId="3267C32C" w14:textId="3B51F184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 банковский счет (по полным реквизитам счета) – </w:t>
            </w:r>
            <w:r w:rsidR="00FC5BF0"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бесплатно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до 3 рабочих дней.</w:t>
            </w:r>
          </w:p>
          <w:p w14:paraId="07D3F0DE" w14:textId="47A9E46F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банковскую карту, эмитированную ОАО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«Заубер Банк» - при сумме перевода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до 20000 – 3%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от 20001 до 50000 –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более 50000 –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Срок зачисления 1 день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FCBE90D" w14:textId="66A49C27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на банковскую карту, эмитированную любым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ом РФ - 1,5%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+ 30 рублей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зачисления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10 минут до 3 рабочих дней.</w:t>
            </w:r>
          </w:p>
          <w:p w14:paraId="075037F9" w14:textId="1C401BA7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Денежный перевод через систему «БЭСТ» - 2%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>. Перевод доступен в пунктах выдачи через 30 минут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3F941762" w14:textId="40E531DD" w:rsidR="00A82D9F" w:rsidRDefault="00A82D9F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не является услугой, необходимость компенсировать затраты возникает в зависимости от личного выбора самого Заемщика и не учитывается в расчете ПСК (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п. 5(3) ст. 6 Федерального закона от 21.12.2013 №353-ФЗ «О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потребительском кредите(займе)» 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платежи заемщика по обслуживанию кредита, которые предусмотрены договором потребительского кредита (займа) и величина и (или) сроки уплаты которых зависят от решения заемщика и (или) варианта его поведения не включаются в расчет ПСК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  <w:r w:rsidR="00FC5BF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4A52659" w14:textId="33B6CF8A" w:rsidR="00246531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Часть</w:t>
            </w:r>
            <w:r w:rsidRPr="00BD576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суммы займа в размере компенсации за присоединение к Договору страхования от несчастных случаев подлежит пер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ечислению Страхователю (п.10)</w:t>
            </w:r>
            <w:r w:rsidRPr="00BD576E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2008287" w14:textId="235D5A83" w:rsidR="004E3356" w:rsidRPr="00EB070A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0F41965" w14:textId="77777777" w:rsidR="00246531" w:rsidRPr="002958F5" w:rsidRDefault="00246531" w:rsidP="00246531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Полное или частичное досрочное погашение бесплатно в любой день в порядке, определенном Общими условиями. Плата за присоединение к Договору страхования от несчастных случаев не возвращается. Частичное погашение в любую дату платежа по графику в порядке, определенном Общими условиями. </w:t>
            </w:r>
          </w:p>
          <w:p w14:paraId="2E99A48B" w14:textId="39E913A1" w:rsidR="004E3356" w:rsidRPr="00FC5BF0" w:rsidRDefault="00246531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частичного досрочного погашения.</w:t>
            </w: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DF28AE" w14:textId="2C6BE809" w:rsidR="004E3356" w:rsidRPr="00FC5BF0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F697D1B" w14:textId="77777777" w:rsidR="00246531" w:rsidRPr="002958F5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Присоединиться к Программе добровольного страхования жизни и здоровья заёмщиков МКК. Срок страхования будет равен Сроку займа, а страховая сумма будет равна Сумме займа по Договору займа на дату предоставления займа. Выгодоприобретатель -  ООО «МКК «Деньги Будут» в сумме задолженности по Договору займа на дату наступления страхового случая в период действия договора. В иных случаях выгодоприобретателем будут являться Заемщик или его наследники. В рамках данной Программы Страхователем выступает Страхователь: ООО «Невский Гарант», адрес местонахождения: 197342, г. Санкт-Петербург, ул. Торжковская, д. 1, корп. 2, офис 221, ИНН / КПП 7814675284/781401001, ОГРН 1167847478490, договор страхования заключён между Страхователем и АО «Д2 Страхование» 630007, г. Новосибирск, ул. Коммунистическая, 2, ИНН 5407197984, ОГРН 1025403197995 (Страховщик), а ООО «МКК «Деньги Будут» не является агентом Страховщика и не имеет иной выгоды, кроме назначения в качестве выгодоприобретателя на период действия Договора займа. Заемщик обязан до заключения Договора займа ознакомится с Правилами страхования. В пользу Страхователя взимается (и устанавливается им) компенсация за сбор, обработку и техническую передачу информации о Заемщике Страховщику, связанной с распространением на Заемщика условий договора страхования, организацию взаимодействия между Страхователем, Заемщиком, Страховщиком и ООО «МКК «Деньги Будут» в период всего срока страхования в размере, определяемом в порядке: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0"/>
              <w:gridCol w:w="812"/>
              <w:gridCol w:w="761"/>
              <w:gridCol w:w="688"/>
              <w:gridCol w:w="688"/>
              <w:gridCol w:w="1125"/>
              <w:gridCol w:w="1217"/>
              <w:gridCol w:w="1125"/>
              <w:gridCol w:w="1250"/>
            </w:tblGrid>
            <w:tr w:rsidR="00246531" w:rsidRPr="002958F5" w14:paraId="32720DD5" w14:textId="77777777" w:rsidTr="00855A2C">
              <w:tc>
                <w:tcPr>
                  <w:tcW w:w="2568" w:type="dxa"/>
                  <w:tcBorders>
                    <w:top w:val="single" w:sz="4" w:space="0" w:color="auto"/>
                  </w:tcBorders>
                </w:tcPr>
                <w:p w14:paraId="0CF16F05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Сумма займа</w:t>
                  </w:r>
                </w:p>
              </w:tc>
              <w:tc>
                <w:tcPr>
                  <w:tcW w:w="1639" w:type="dxa"/>
                  <w:gridSpan w:val="2"/>
                  <w:tcBorders>
                    <w:top w:val="single" w:sz="4" w:space="0" w:color="auto"/>
                  </w:tcBorders>
                </w:tcPr>
                <w:p w14:paraId="253CD02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5000 – 10000</w:t>
                  </w:r>
                </w:p>
              </w:tc>
              <w:tc>
                <w:tcPr>
                  <w:tcW w:w="3364" w:type="dxa"/>
                  <w:gridSpan w:val="4"/>
                  <w:tcBorders>
                    <w:top w:val="single" w:sz="4" w:space="0" w:color="auto"/>
                  </w:tcBorders>
                </w:tcPr>
                <w:p w14:paraId="4600FB33" w14:textId="05833A68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11000-30000</w:t>
                  </w:r>
                </w:p>
              </w:tc>
              <w:tc>
                <w:tcPr>
                  <w:tcW w:w="2385" w:type="dxa"/>
                  <w:gridSpan w:val="2"/>
                  <w:tcBorders>
                    <w:top w:val="single" w:sz="4" w:space="0" w:color="auto"/>
                  </w:tcBorders>
                </w:tcPr>
                <w:p w14:paraId="36353654" w14:textId="2B285992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35000-90000</w:t>
                  </w:r>
                </w:p>
              </w:tc>
            </w:tr>
            <w:tr w:rsidR="00246531" w:rsidRPr="002958F5" w14:paraId="327BC7C8" w14:textId="77777777" w:rsidTr="00246531">
              <w:tc>
                <w:tcPr>
                  <w:tcW w:w="2568" w:type="dxa"/>
                  <w:tcBorders>
                    <w:bottom w:val="single" w:sz="4" w:space="0" w:color="auto"/>
                  </w:tcBorders>
                </w:tcPr>
                <w:p w14:paraId="5C896BA2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Срок займа (дней)</w:t>
                  </w:r>
                </w:p>
              </w:tc>
              <w:tc>
                <w:tcPr>
                  <w:tcW w:w="856" w:type="dxa"/>
                </w:tcPr>
                <w:p w14:paraId="1EF31C17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14, 28</w:t>
                  </w:r>
                </w:p>
              </w:tc>
              <w:tc>
                <w:tcPr>
                  <w:tcW w:w="783" w:type="dxa"/>
                </w:tcPr>
                <w:p w14:paraId="6F8969F5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693" w:type="dxa"/>
                </w:tcPr>
                <w:p w14:paraId="05B2C069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14,28</w:t>
                  </w:r>
                </w:p>
              </w:tc>
              <w:tc>
                <w:tcPr>
                  <w:tcW w:w="693" w:type="dxa"/>
                </w:tcPr>
                <w:p w14:paraId="358C3EE8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1127" w:type="dxa"/>
                </w:tcPr>
                <w:p w14:paraId="60561E0D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851" w:type="dxa"/>
                </w:tcPr>
                <w:p w14:paraId="6F57F7B5" w14:textId="11150FE3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  <w:tc>
                <w:tcPr>
                  <w:tcW w:w="1127" w:type="dxa"/>
                </w:tcPr>
                <w:p w14:paraId="62CBB568" w14:textId="2EB1A01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1258" w:type="dxa"/>
                </w:tcPr>
                <w:p w14:paraId="3BFB4B12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</w:tr>
            <w:tr w:rsidR="00246531" w:rsidRPr="002958F5" w14:paraId="7B06E437" w14:textId="77777777" w:rsidTr="00246531">
              <w:tc>
                <w:tcPr>
                  <w:tcW w:w="2568" w:type="dxa"/>
                  <w:vAlign w:val="center"/>
                </w:tcPr>
                <w:p w14:paraId="51AC201E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Ставка (в день) от Страховой суммы</w:t>
                  </w:r>
                </w:p>
              </w:tc>
              <w:tc>
                <w:tcPr>
                  <w:tcW w:w="856" w:type="dxa"/>
                  <w:vAlign w:val="center"/>
                </w:tcPr>
                <w:p w14:paraId="5358FE48" w14:textId="77777777" w:rsidR="00246531" w:rsidRPr="00C35D24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783" w:type="dxa"/>
                  <w:vAlign w:val="center"/>
                </w:tcPr>
                <w:p w14:paraId="181FF2C4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693" w:type="dxa"/>
                  <w:vAlign w:val="center"/>
                </w:tcPr>
                <w:p w14:paraId="1CB0FE2E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693" w:type="dxa"/>
                  <w:vAlign w:val="center"/>
                </w:tcPr>
                <w:p w14:paraId="4D13EE4C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1127" w:type="dxa"/>
                  <w:vAlign w:val="center"/>
                </w:tcPr>
                <w:p w14:paraId="10A9AD4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851" w:type="dxa"/>
                  <w:vAlign w:val="center"/>
                </w:tcPr>
                <w:p w14:paraId="13CD9A8D" w14:textId="7E672BF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  <w:tc>
                <w:tcPr>
                  <w:tcW w:w="1127" w:type="dxa"/>
                  <w:vAlign w:val="center"/>
                </w:tcPr>
                <w:p w14:paraId="586A5F0E" w14:textId="1CC6DB09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1258" w:type="dxa"/>
                  <w:vAlign w:val="center"/>
                </w:tcPr>
                <w:p w14:paraId="03CD6E23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</w:tr>
          </w:tbl>
          <w:p w14:paraId="3EED28D7" w14:textId="70C92E52" w:rsidR="004E3356" w:rsidRPr="00EB070A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также включает в себя компенсацию с моей стороны Страхователю страховой премии по договору страхования, которая будет уплачена Страхователем за меня и в моих интересах. Мне известно, что</w:t>
            </w:r>
            <w:r w:rsidR="007E159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в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случае досрочного (иного) прекращения Срока действия Договора займа указанная компенсация не возвращается, а договор страхования продолжает действовать до истечения его срока и выгодоприобретателем по этому договору буду я или мои наследники. Указанная компенсация включается в Сумму займа и подлежит переводу Страхователю по следующим реквизитам р/</w:t>
            </w:r>
            <w:proofErr w:type="spellStart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сч</w:t>
            </w:r>
            <w:proofErr w:type="spellEnd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40701810600040000825 АО "ЗАУБЕР БАНК" Г САНКТ-ПЕТЕРБУРГ БИК 044030925, к/с 30101810640300000925. Заемщик может заключить договор на сопоставимых (сумма и сро</w:t>
            </w:r>
            <w:r w:rsidR="007E159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к возврата займа) условиях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без заключения договора страхования (тарифный план Базовый), либо с заключением договора страхования с участием указанного Страховщика, но без включения затрат в сумму займа (тарифный план Старт), либо с заключением договора с альтернативным страховщиком (включая сопоставимую процентную ставку) (тарифный план Пилот).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419DA82C" w14:textId="77777777" w:rsidR="00246531" w:rsidRPr="00246531" w:rsidRDefault="008670DF" w:rsidP="00246531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246531" w:rsidRPr="00246531">
        <w:rPr>
          <w:rFonts w:ascii="Arial" w:hAnsi="Arial" w:cs="Arial"/>
          <w:color w:val="000000" w:themeColor="text1"/>
          <w:sz w:val="18"/>
          <w:szCs w:val="18"/>
        </w:rPr>
        <w:t>От 188,89 до 725,528.</w:t>
      </w:r>
    </w:p>
    <w:p w14:paraId="10F4ECEF" w14:textId="64663F77" w:rsidR="00E44CD9" w:rsidRPr="008670DF" w:rsidRDefault="00E44CD9" w:rsidP="008670D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E44CD9" w:rsidRPr="008670DF" w:rsidSect="0024653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46531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159E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2D9F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5BF0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A6036-7F3F-4358-B39D-D1D1507B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3</cp:revision>
  <cp:lastPrinted>2017-02-17T07:33:00Z</cp:lastPrinted>
  <dcterms:created xsi:type="dcterms:W3CDTF">2017-03-13T11:00:00Z</dcterms:created>
  <dcterms:modified xsi:type="dcterms:W3CDTF">2017-03-13T11:04:00Z</dcterms:modified>
</cp:coreProperties>
</file>